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E" w:rsidRPr="009F0ABC" w:rsidRDefault="00A91325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-2205355</wp:posOffset>
            </wp:positionV>
            <wp:extent cx="7483475" cy="10563225"/>
            <wp:effectExtent l="1562100" t="0" r="1546225" b="0"/>
            <wp:wrapNone/>
            <wp:docPr id="2" name="Рисунок 1" descr="C:\Users\olga\Pictures\2015-01-3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2015-01-30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347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A3E">
        <w:t xml:space="preserve">                                            </w:t>
      </w:r>
      <w:r w:rsidR="00086A3E" w:rsidRPr="009F0ABC">
        <w:rPr>
          <w:rFonts w:ascii="Times New Roman" w:hAnsi="Times New Roman" w:cs="Times New Roman"/>
          <w:sz w:val="28"/>
          <w:szCs w:val="28"/>
        </w:rPr>
        <w:t>УТВЕРЖДАЮ</w:t>
      </w:r>
    </w:p>
    <w:p w:rsidR="006D1881" w:rsidRPr="009F0ABC" w:rsidRDefault="006D1881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ABC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6D1881" w:rsidRPr="009F0ABC" w:rsidRDefault="006D1881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AB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D1881" w:rsidRPr="009F0ABC" w:rsidRDefault="006D1881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ABC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6D1881" w:rsidRPr="009F0ABC" w:rsidRDefault="006D1881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ABC">
        <w:rPr>
          <w:rFonts w:ascii="Times New Roman" w:hAnsi="Times New Roman" w:cs="Times New Roman"/>
          <w:sz w:val="28"/>
          <w:szCs w:val="28"/>
        </w:rPr>
        <w:t>_________________ М.К. Воронина</w:t>
      </w:r>
    </w:p>
    <w:p w:rsidR="00A04E4D" w:rsidRPr="009F0ABC" w:rsidRDefault="00A04E4D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6A3E" w:rsidRPr="009F0ABC" w:rsidRDefault="00086A3E" w:rsidP="00086A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0A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6D78">
        <w:rPr>
          <w:rFonts w:ascii="Times New Roman" w:hAnsi="Times New Roman" w:cs="Times New Roman"/>
          <w:sz w:val="28"/>
          <w:szCs w:val="28"/>
        </w:rPr>
        <w:t xml:space="preserve">    "____" _____________ 201 </w:t>
      </w:r>
      <w:r w:rsidRPr="009F0A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A3E" w:rsidRPr="009F0ABC" w:rsidRDefault="00086A3E" w:rsidP="00086A3E">
      <w:pPr>
        <w:pStyle w:val="ConsPlusNonformat"/>
        <w:outlineLvl w:val="0"/>
        <w:rPr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21F4" w:rsidRDefault="006C21F4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A3E" w:rsidRPr="00086A3E" w:rsidRDefault="00086A3E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</w:t>
      </w:r>
    </w:p>
    <w:p w:rsidR="00086A3E" w:rsidRDefault="00086A3E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(ВЫПОЛНЕНИЕ РАБОТ) 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06CBF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A06CBF" w:rsidRPr="00086A3E" w:rsidRDefault="00A06CBF" w:rsidP="00A06C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086A3E" w:rsidRDefault="00086A3E" w:rsidP="00086A3E">
      <w:pPr>
        <w:pStyle w:val="ConsPlusNonformat"/>
      </w:pPr>
    </w:p>
    <w:p w:rsidR="00086A3E" w:rsidRP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Заказчик</w:t>
      </w:r>
      <w:r w:rsidR="00366D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город Рыбинск</w:t>
      </w:r>
    </w:p>
    <w:p w:rsid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CBF" w:rsidRPr="00A06CBF" w:rsidRDefault="00086A3E" w:rsidP="00436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CBF">
        <w:rPr>
          <w:rFonts w:ascii="Times New Roman" w:hAnsi="Times New Roman" w:cs="Times New Roman"/>
          <w:sz w:val="28"/>
          <w:szCs w:val="28"/>
        </w:rPr>
        <w:t>Исполнитель</w:t>
      </w:r>
      <w:r w:rsidR="00366D4C" w:rsidRPr="00A06CBF">
        <w:rPr>
          <w:rFonts w:ascii="Times New Roman" w:hAnsi="Times New Roman" w:cs="Times New Roman"/>
          <w:sz w:val="28"/>
          <w:szCs w:val="28"/>
        </w:rPr>
        <w:t xml:space="preserve"> - </w:t>
      </w:r>
      <w:r w:rsidR="00436D78">
        <w:rPr>
          <w:rFonts w:ascii="Times New Roman" w:hAnsi="Times New Roman" w:cs="Times New Roman"/>
          <w:sz w:val="28"/>
          <w:szCs w:val="28"/>
        </w:rPr>
        <w:t>м</w:t>
      </w:r>
      <w:r w:rsidR="00A06CBF" w:rsidRPr="00A06CBF">
        <w:rPr>
          <w:rFonts w:ascii="Times New Roman" w:hAnsi="Times New Roman" w:cs="Times New Roman"/>
          <w:sz w:val="28"/>
          <w:szCs w:val="28"/>
        </w:rPr>
        <w:t>уницип</w:t>
      </w:r>
      <w:r w:rsidR="00436D78">
        <w:rPr>
          <w:rFonts w:ascii="Times New Roman" w:hAnsi="Times New Roman" w:cs="Times New Roman"/>
          <w:sz w:val="28"/>
          <w:szCs w:val="28"/>
        </w:rPr>
        <w:t>альное учреждение культуры Дом к</w:t>
      </w:r>
      <w:r w:rsidR="00A06CBF" w:rsidRPr="00A06CBF">
        <w:rPr>
          <w:rFonts w:ascii="Times New Roman" w:hAnsi="Times New Roman" w:cs="Times New Roman"/>
          <w:sz w:val="28"/>
          <w:szCs w:val="28"/>
        </w:rPr>
        <w:t xml:space="preserve">ультуры «Слип» </w:t>
      </w:r>
    </w:p>
    <w:p w:rsidR="00A06CBF" w:rsidRPr="00A06CBF" w:rsidRDefault="00A06CBF" w:rsidP="00436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CBF">
        <w:rPr>
          <w:rFonts w:ascii="Times New Roman" w:hAnsi="Times New Roman" w:cs="Times New Roman"/>
          <w:sz w:val="28"/>
          <w:szCs w:val="28"/>
        </w:rPr>
        <w:t>152909, Ярославская область, город Рыбинск, ул. Пятилетки, д.27</w:t>
      </w:r>
    </w:p>
    <w:p w:rsidR="00086A3E" w:rsidRPr="00A06CBF" w:rsidRDefault="00086A3E" w:rsidP="00A06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172" w:rsidRPr="00366D4C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172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172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172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172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172" w:rsidRDefault="00FB0172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D4C" w:rsidRDefault="00366D4C" w:rsidP="00366D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A3E" w:rsidRPr="00086A3E" w:rsidRDefault="00086A3E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lastRenderedPageBreak/>
        <w:t>1. МУНИЦИПАЛЬНОЕ ЗАДАНИЕ</w:t>
      </w:r>
    </w:p>
    <w:p w:rsidR="00086A3E" w:rsidRPr="00086A3E" w:rsidRDefault="00086A3E" w:rsidP="00086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086A3E" w:rsidRP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A3E" w:rsidRP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</w:t>
      </w:r>
      <w:r w:rsidR="00687978">
        <w:rPr>
          <w:rFonts w:ascii="Times New Roman" w:hAnsi="Times New Roman" w:cs="Times New Roman"/>
          <w:sz w:val="28"/>
          <w:szCs w:val="28"/>
        </w:rPr>
        <w:t xml:space="preserve">   </w:t>
      </w:r>
      <w:r w:rsidRPr="00086A3E">
        <w:rPr>
          <w:rFonts w:ascii="Times New Roman" w:hAnsi="Times New Roman" w:cs="Times New Roman"/>
          <w:sz w:val="28"/>
          <w:szCs w:val="28"/>
        </w:rPr>
        <w:t xml:space="preserve">Раздел 1                      </w:t>
      </w:r>
    </w:p>
    <w:p w:rsidR="00635F3A" w:rsidRPr="00635F3A" w:rsidRDefault="00086A3E" w:rsidP="0063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1.1. Наименование муниципальной услуги </w:t>
      </w:r>
      <w:r w:rsidR="00635F3A" w:rsidRPr="00635F3A">
        <w:rPr>
          <w:rFonts w:ascii="Times New Roman" w:hAnsi="Times New Roman" w:cs="Times New Roman"/>
          <w:sz w:val="28"/>
          <w:szCs w:val="28"/>
        </w:rPr>
        <w:t>показ спектаклей, концертов и концертных программ, кинопрограмм и иных зрелищных программ</w:t>
      </w:r>
    </w:p>
    <w:p w:rsidR="00086A3E" w:rsidRPr="00086A3E" w:rsidRDefault="00086A3E" w:rsidP="00635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1.2. Категории потребителей муниципальной услуги</w:t>
      </w:r>
    </w:p>
    <w:p w:rsidR="00086A3E" w:rsidRPr="00086A3E" w:rsidRDefault="00635F3A" w:rsidP="00C7474E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1.2.1. </w:t>
      </w:r>
      <w:r w:rsidR="00086A3E" w:rsidRPr="00086A3E">
        <w:rPr>
          <w:rFonts w:ascii="Times New Roman" w:hAnsi="Times New Roman" w:cs="Times New Roman"/>
          <w:sz w:val="28"/>
          <w:szCs w:val="28"/>
        </w:rPr>
        <w:t>Потребители бесплатных услуг</w:t>
      </w:r>
      <w:r w:rsidR="00C00274">
        <w:rPr>
          <w:rFonts w:ascii="Times New Roman" w:hAnsi="Times New Roman" w:cs="Times New Roman"/>
          <w:sz w:val="28"/>
          <w:szCs w:val="28"/>
        </w:rPr>
        <w:t xml:space="preserve"> -</w:t>
      </w:r>
      <w:r w:rsidR="00086A3E" w:rsidRPr="00086A3E">
        <w:rPr>
          <w:rFonts w:ascii="Times New Roman" w:hAnsi="Times New Roman" w:cs="Times New Roman"/>
          <w:sz w:val="28"/>
          <w:szCs w:val="28"/>
        </w:rPr>
        <w:t xml:space="preserve"> </w:t>
      </w:r>
      <w:r w:rsidRPr="00635F3A">
        <w:rPr>
          <w:rFonts w:ascii="Times New Roman" w:hAnsi="Times New Roman" w:cs="Times New Roman"/>
          <w:sz w:val="28"/>
          <w:szCs w:val="28"/>
        </w:rPr>
        <w:t>физические лица</w:t>
      </w:r>
      <w:r w:rsidR="00086A3E" w:rsidRPr="00086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A3E" w:rsidRPr="00086A3E" w:rsidRDefault="00086A3E" w:rsidP="00C7474E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1.2.2. Потребители частично оплачиваемых </w:t>
      </w:r>
      <w:r w:rsidR="00C00274">
        <w:rPr>
          <w:rFonts w:ascii="Times New Roman" w:hAnsi="Times New Roman" w:cs="Times New Roman"/>
          <w:sz w:val="28"/>
          <w:szCs w:val="28"/>
        </w:rPr>
        <w:t xml:space="preserve">услуг - </w:t>
      </w:r>
      <w:r w:rsidR="00C7474E" w:rsidRPr="00C7474E">
        <w:rPr>
          <w:rFonts w:ascii="Times New Roman" w:hAnsi="Times New Roman" w:cs="Times New Roman"/>
          <w:sz w:val="28"/>
          <w:szCs w:val="28"/>
        </w:rPr>
        <w:t>физические лица, юридические лица</w:t>
      </w:r>
    </w:p>
    <w:p w:rsidR="00086A3E" w:rsidRP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1.3. Показатели,  характеризующие  качество и (или) объем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услуги</w:t>
      </w:r>
    </w:p>
    <w:p w:rsidR="00086A3E" w:rsidRPr="00086A3E" w:rsidRDefault="00086A3E" w:rsidP="00086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1.3.1. Плановый объем муниципальной услуги (в натуральных показателях)</w:t>
      </w:r>
    </w:p>
    <w:p w:rsidR="00086A3E" w:rsidRDefault="00086A3E" w:rsidP="00086A3E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144"/>
        <w:gridCol w:w="1531"/>
        <w:gridCol w:w="1417"/>
        <w:gridCol w:w="1588"/>
        <w:gridCol w:w="1559"/>
        <w:gridCol w:w="1701"/>
        <w:gridCol w:w="1843"/>
        <w:gridCol w:w="2126"/>
      </w:tblGrid>
      <w:tr w:rsidR="0014213A" w:rsidTr="00437F4D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jc w:val="both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jc w:val="center"/>
            </w:pP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E0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диниц </w:t>
            </w:r>
            <w:r w:rsidRPr="00AE044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публичных </w:t>
            </w:r>
            <w:r w:rsidRPr="00AE044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показов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Абсолют</w:t>
            </w:r>
          </w:p>
          <w:p w:rsidR="0014213A" w:rsidRDefault="0014213A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406C06" w:rsidRDefault="00F466D0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F466D0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F466D0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F466D0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«Информация о ситуации в курируемой сфере», </w:t>
            </w:r>
          </w:p>
          <w:p w:rsidR="0014213A" w:rsidRDefault="0014213A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>Приказ Управления культуры № 02/04/136</w:t>
            </w:r>
          </w:p>
          <w:p w:rsidR="0014213A" w:rsidRDefault="0014213A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>от 23.12.2011</w:t>
            </w:r>
          </w:p>
        </w:tc>
      </w:tr>
    </w:tbl>
    <w:p w:rsidR="0014213A" w:rsidRDefault="0014213A" w:rsidP="0014213A">
      <w:pPr>
        <w:pStyle w:val="ConsPlusNormal"/>
        <w:jc w:val="both"/>
      </w:pPr>
    </w:p>
    <w:p w:rsidR="0014213A" w:rsidRPr="00086A3E" w:rsidRDefault="0014213A" w:rsidP="0014213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1.3.2. Показатели качества муниципальной услуги</w:t>
      </w:r>
    </w:p>
    <w:p w:rsidR="0014213A" w:rsidRDefault="0014213A" w:rsidP="0014213A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144"/>
        <w:gridCol w:w="1531"/>
        <w:gridCol w:w="1417"/>
        <w:gridCol w:w="1588"/>
        <w:gridCol w:w="1559"/>
        <w:gridCol w:w="1701"/>
        <w:gridCol w:w="1843"/>
        <w:gridCol w:w="2126"/>
      </w:tblGrid>
      <w:tr w:rsidR="0014213A" w:rsidTr="00437F4D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финансовый </w:t>
            </w: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год планового </w:t>
            </w: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год планового </w:t>
            </w: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213A" w:rsidTr="00437F4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086A3E" w:rsidRDefault="0014213A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3C2E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посетителей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Абсолютный показатель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BD66CD" w:rsidRDefault="00F466D0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BD66CD" w:rsidRDefault="00B41570" w:rsidP="002B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22E5">
              <w:rPr>
                <w:rFonts w:ascii="Times New Roman" w:hAnsi="Times New Roman" w:cs="Times New Roman"/>
                <w:sz w:val="26"/>
                <w:szCs w:val="26"/>
              </w:rPr>
              <w:t>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BD66CD" w:rsidRDefault="00B41570" w:rsidP="002B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22E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Pr="00BD66CD" w:rsidRDefault="002B22E5" w:rsidP="002B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A" w:rsidRDefault="0014213A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«Информация о ситуации в курируемой сфере», </w:t>
            </w:r>
          </w:p>
          <w:p w:rsidR="0014213A" w:rsidRDefault="0014213A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>Приказ Управления культуры № 02/04/136</w:t>
            </w:r>
          </w:p>
          <w:p w:rsidR="0014213A" w:rsidRDefault="0014213A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EF8">
              <w:rPr>
                <w:rFonts w:ascii="Times New Roman" w:hAnsi="Times New Roman" w:cs="Times New Roman"/>
                <w:sz w:val="26"/>
                <w:szCs w:val="26"/>
              </w:rPr>
              <w:t>от 23.12.2011</w:t>
            </w:r>
          </w:p>
        </w:tc>
      </w:tr>
    </w:tbl>
    <w:p w:rsidR="0014213A" w:rsidRDefault="0014213A" w:rsidP="0014213A">
      <w:pPr>
        <w:pStyle w:val="ConsPlusNonformat"/>
        <w:rPr>
          <w:rFonts w:ascii="Arial" w:hAnsi="Arial" w:cs="Arial"/>
        </w:rPr>
      </w:pPr>
    </w:p>
    <w:p w:rsidR="00FB0172" w:rsidRDefault="00FB0172" w:rsidP="00086A3E">
      <w:pPr>
        <w:pStyle w:val="ConsPlusNonformat"/>
        <w:rPr>
          <w:rFonts w:ascii="Arial" w:hAnsi="Arial" w:cs="Arial"/>
        </w:rPr>
      </w:pPr>
    </w:p>
    <w:p w:rsidR="00086A3E" w:rsidRPr="00086A3E" w:rsidRDefault="00FB0172" w:rsidP="00FB0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086A3E" w:rsidRPr="00086A3E">
        <w:rPr>
          <w:rFonts w:ascii="Times New Roman" w:hAnsi="Times New Roman" w:cs="Times New Roman"/>
          <w:sz w:val="28"/>
          <w:szCs w:val="28"/>
        </w:rPr>
        <w:t>1.4. Порядок оказания муниципальной услуги</w:t>
      </w:r>
    </w:p>
    <w:p w:rsidR="00086A3E" w:rsidRPr="00086A3E" w:rsidRDefault="00086A3E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1.4.1.  Нормативные   правовые   акты,  регулирующие  порядок 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72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Рыбинск  от 19.07.2012 №  2817 «Об утверждении стандартов качества муниципальных услуг в отрасли культура»</w:t>
      </w:r>
    </w:p>
    <w:p w:rsidR="00965629" w:rsidRDefault="00086A3E" w:rsidP="00FB0172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1.4.2.  Порядок информирования потенциальных потребителей муниципальной услуги  (способ</w:t>
      </w:r>
      <w:r w:rsidR="00FB0172" w:rsidRP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FB0172">
        <w:rPr>
          <w:rFonts w:ascii="Times New Roman" w:hAnsi="Times New Roman" w:cs="Times New Roman"/>
          <w:sz w:val="28"/>
          <w:szCs w:val="28"/>
        </w:rPr>
        <w:t xml:space="preserve"> информирования,  состав  размещаемой  информации,  частота</w:t>
      </w:r>
      <w:r w:rsidR="00FB0172" w:rsidRP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FB0172">
        <w:rPr>
          <w:rFonts w:ascii="Times New Roman" w:hAnsi="Times New Roman" w:cs="Times New Roman"/>
          <w:sz w:val="28"/>
          <w:szCs w:val="28"/>
        </w:rPr>
        <w:t>обновления информации)</w:t>
      </w:r>
      <w:r w:rsidR="00965629">
        <w:rPr>
          <w:rFonts w:ascii="Times New Roman" w:hAnsi="Times New Roman" w:cs="Times New Roman"/>
          <w:sz w:val="28"/>
          <w:szCs w:val="28"/>
        </w:rPr>
        <w:t>.</w:t>
      </w:r>
      <w:r w:rsidRPr="00FB0172">
        <w:rPr>
          <w:rFonts w:ascii="Times New Roman" w:hAnsi="Times New Roman" w:cs="Times New Roman"/>
          <w:sz w:val="28"/>
          <w:szCs w:val="28"/>
        </w:rPr>
        <w:t xml:space="preserve"> </w:t>
      </w:r>
      <w:r w:rsidR="00FB0172" w:rsidRPr="00FB0172">
        <w:rPr>
          <w:rFonts w:ascii="Times New Roman" w:hAnsi="Times New Roman" w:cs="Times New Roman"/>
          <w:sz w:val="28"/>
          <w:szCs w:val="28"/>
        </w:rPr>
        <w:t>Информирование потребителей об Организации осуществляется непосредственно Организацией. Информация об Организации размещается на официальном сайте городского округа город Рыбинск в сети Интернет. Организация обязана довести до сведения потребителя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потребителя. В общедоступной зоне в Организации и на сайте Организации (при его наличии) должна быть размещена следующая информация:</w:t>
      </w:r>
    </w:p>
    <w:p w:rsidR="00965629" w:rsidRDefault="00FB0172" w:rsidP="00FB0172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- сведения о графике работы Организации;</w:t>
      </w:r>
    </w:p>
    <w:p w:rsidR="00965629" w:rsidRDefault="00FB0172" w:rsidP="00FB0172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правила пользования организацией, права и обязанности потребителя, в том числе основания отказа в оказании Услуги; </w:t>
      </w:r>
    </w:p>
    <w:p w:rsidR="00965629" w:rsidRDefault="00FB0172" w:rsidP="00FB0172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утвержденный перечень услуг с указанием условий предоставления, наличия льгот; </w:t>
      </w:r>
    </w:p>
    <w:p w:rsidR="00965629" w:rsidRDefault="00FB0172" w:rsidP="00965629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lastRenderedPageBreak/>
        <w:t>- информация о номерах телефонов Организации;</w:t>
      </w:r>
    </w:p>
    <w:p w:rsidR="00965629" w:rsidRDefault="00FB0172" w:rsidP="00965629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контактная информация о руководстве Организации с указанием фамилии, имени, отчества, должности, номера телефона, времени и месте приема потребителя; </w:t>
      </w:r>
    </w:p>
    <w:p w:rsidR="00965629" w:rsidRDefault="00FB0172" w:rsidP="00965629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информация о местонахождении текста Стандарта, которому должны соответствовать Услуги, оказываемые Организацией; </w:t>
      </w:r>
    </w:p>
    <w:p w:rsidR="00965629" w:rsidRDefault="00FB0172" w:rsidP="00965629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информация о способах доведения потребителем своих отзывов, замечаний и предложений о работе Организации; </w:t>
      </w:r>
    </w:p>
    <w:p w:rsidR="00FB0172" w:rsidRPr="00FB0172" w:rsidRDefault="00FB0172" w:rsidP="00965629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- порядок рассмотрения жалоб на качество оказываемой Услуги.</w:t>
      </w:r>
    </w:p>
    <w:p w:rsidR="00FB0172" w:rsidRPr="00FB0172" w:rsidRDefault="00FB0172" w:rsidP="00FB0172">
      <w:pPr>
        <w:autoSpaceDE w:val="0"/>
        <w:autoSpaceDN w:val="0"/>
        <w:adjustRightInd w:val="0"/>
        <w:ind w:right="-50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Информация о деятельности Организации, о порядке и правилах оказания Услуги должна обновляться (актуализироваться) по мере необходимости, но не реже чем раз в год.</w:t>
      </w:r>
    </w:p>
    <w:p w:rsidR="00086A3E" w:rsidRPr="00086A3E" w:rsidRDefault="00086A3E" w:rsidP="006C21F4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1.5. Предельные цены (тарифы) на оплату муниципальной услуги в случаях,</w:t>
      </w:r>
      <w:r w:rsid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если  законодательством  Российской  Федерации предусмотрено их оказание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платной основе,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B0172">
        <w:rPr>
          <w:rFonts w:ascii="Times New Roman" w:hAnsi="Times New Roman" w:cs="Times New Roman"/>
          <w:sz w:val="28"/>
          <w:szCs w:val="28"/>
        </w:rPr>
        <w:t xml:space="preserve">  </w:t>
      </w:r>
      <w:r w:rsidRPr="00086A3E">
        <w:rPr>
          <w:rFonts w:ascii="Times New Roman" w:hAnsi="Times New Roman" w:cs="Times New Roman"/>
          <w:sz w:val="28"/>
          <w:szCs w:val="28"/>
        </w:rPr>
        <w:t>(заполняется в случае оказания услуг на платной основе, указываются</w:t>
      </w:r>
      <w:r w:rsid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 xml:space="preserve"> нормативные акты, которыми предусмотрено оказание услуг на платной основе,</w:t>
      </w:r>
      <w:r w:rsid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 xml:space="preserve">  орган, устанавливающий цены (тарифы), значения предельных цен (тарифов))</w:t>
      </w:r>
    </w:p>
    <w:p w:rsidR="00FB0172" w:rsidRDefault="00086A3E" w:rsidP="006C21F4">
      <w:pPr>
        <w:autoSpaceDE w:val="0"/>
        <w:autoSpaceDN w:val="0"/>
        <w:adjustRightInd w:val="0"/>
        <w:spacing w:after="0" w:line="240" w:lineRule="auto"/>
        <w:ind w:right="-5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>1.6. Основания  для  досрочного  прекращения  исполнения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задания</w:t>
      </w:r>
      <w:r w:rsidR="00692A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72"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пункт</w:t>
      </w:r>
      <w:r w:rsidR="00FB0172">
        <w:rPr>
          <w:rFonts w:ascii="Times New Roman" w:hAnsi="Times New Roman" w:cs="Times New Roman"/>
          <w:sz w:val="28"/>
          <w:szCs w:val="28"/>
        </w:rPr>
        <w:t xml:space="preserve"> 2.12.Раздела 2 Порядка  формирования, финансового обеспечения, мониторинга и контроля выполнения муниципального задания, утвержденного Постановлением Администрации городского округа г. Рыбинск от 08.04.2014 N 971 «О порядке формирования, финансового обеспечения, мониторинга и контроля выполнения муниципального задания»</w:t>
      </w:r>
    </w:p>
    <w:p w:rsidR="00086A3E" w:rsidRPr="00086A3E" w:rsidRDefault="00086A3E" w:rsidP="006C21F4">
      <w:pPr>
        <w:pStyle w:val="ConsPlusNonformat"/>
        <w:ind w:right="-501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1.7. Порядок </w:t>
      </w:r>
      <w:proofErr w:type="gramStart"/>
      <w:r w:rsidRPr="00086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6A3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086A3E" w:rsidRDefault="00086A3E" w:rsidP="00086A3E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086A3E" w:rsidRPr="00086A3E" w:rsidTr="001623C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086A3E" w:rsidRPr="00086A3E" w:rsidTr="001623C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913496" w:rsidP="0091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промежуточная 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91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кварталом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162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913496" w:rsidRPr="00086A3E" w:rsidTr="001623C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086A3E" w:rsidRDefault="0091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086A3E" w:rsidRDefault="00162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Рыбинск</w:t>
            </w:r>
          </w:p>
        </w:tc>
      </w:tr>
      <w:tr w:rsidR="00913496" w:rsidRPr="00086A3E" w:rsidTr="001623C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Default="00913496" w:rsidP="00913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выполнения муниципального задания</w:t>
            </w:r>
          </w:p>
          <w:p w:rsidR="00913496" w:rsidRDefault="009134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086A3E" w:rsidRDefault="00162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69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96" w:rsidRPr="00086A3E" w:rsidRDefault="001623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</w:tbl>
    <w:p w:rsidR="001623C8" w:rsidRDefault="001623C8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A3E" w:rsidRPr="00086A3E" w:rsidRDefault="001623C8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A3E" w:rsidRPr="00913496">
        <w:rPr>
          <w:rFonts w:ascii="Times New Roman" w:hAnsi="Times New Roman" w:cs="Times New Roman"/>
          <w:sz w:val="28"/>
          <w:szCs w:val="28"/>
        </w:rPr>
        <w:t>1</w:t>
      </w:r>
      <w:r w:rsidR="00086A3E" w:rsidRPr="00086A3E">
        <w:rPr>
          <w:rFonts w:ascii="Times New Roman" w:hAnsi="Times New Roman" w:cs="Times New Roman"/>
          <w:sz w:val="28"/>
          <w:szCs w:val="28"/>
        </w:rPr>
        <w:t>.8. Требования к отчетности об исполнении муниципального задания</w:t>
      </w:r>
    </w:p>
    <w:p w:rsidR="00086A3E" w:rsidRPr="00086A3E" w:rsidRDefault="00086A3E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1.8.1. Сроки представления отчетов об исполнении муниципального задания</w:t>
      </w:r>
    </w:p>
    <w:p w:rsidR="001623C8" w:rsidRDefault="00692A91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23C8"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муниципального задания предоставляются учреждением </w:t>
      </w:r>
    </w:p>
    <w:p w:rsidR="001623C8" w:rsidRPr="00086A3E" w:rsidRDefault="001623C8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до 5 </w:t>
      </w:r>
      <w:r w:rsidR="00692A91">
        <w:rPr>
          <w:rFonts w:ascii="Times New Roman" w:hAnsi="Times New Roman" w:cs="Times New Roman"/>
          <w:sz w:val="28"/>
          <w:szCs w:val="28"/>
        </w:rPr>
        <w:t>февраля года, следующего за отчетным годом.</w:t>
      </w:r>
    </w:p>
    <w:p w:rsidR="00086A3E" w:rsidRPr="00086A3E" w:rsidRDefault="00086A3E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1.8.2. Форма отчета об исполнении муниципального задания</w:t>
      </w:r>
    </w:p>
    <w:p w:rsidR="00086A3E" w:rsidRDefault="00086A3E" w:rsidP="00086A3E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1701"/>
        <w:gridCol w:w="2551"/>
        <w:gridCol w:w="2464"/>
        <w:gridCol w:w="2465"/>
        <w:gridCol w:w="3180"/>
      </w:tblGrid>
      <w:tr w:rsidR="00086A3E" w:rsidRPr="00086A3E" w:rsidTr="00086A3E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от запланированных значений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86A3E" w:rsidRPr="00086A3E" w:rsidTr="00086A3E">
        <w:trPr>
          <w:tblCellSpacing w:w="5" w:type="nil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086A3E" w:rsidRPr="00086A3E" w:rsidTr="00086A3E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A3E" w:rsidRPr="00086A3E" w:rsidTr="00086A3E">
        <w:trPr>
          <w:tblCellSpacing w:w="5" w:type="nil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086A3E" w:rsidRPr="00086A3E" w:rsidTr="00086A3E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086A3E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A3E" w:rsidRPr="00086A3E" w:rsidRDefault="00086A3E" w:rsidP="0008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A3E" w:rsidRPr="00086A3E" w:rsidRDefault="00086A3E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1.9. Результаты контроля исполнения муниципального задания</w:t>
      </w:r>
    </w:p>
    <w:p w:rsidR="00086A3E" w:rsidRDefault="00086A3E" w:rsidP="00086A3E">
      <w:pPr>
        <w:pStyle w:val="ConsPlusNonformat"/>
      </w:pPr>
      <w:r>
        <w:t>___________________________________________________________________________</w:t>
      </w:r>
    </w:p>
    <w:p w:rsidR="00086A3E" w:rsidRDefault="00086A3E" w:rsidP="00086A3E">
      <w:pPr>
        <w:pStyle w:val="ConsPlusNonformat"/>
      </w:pPr>
    </w:p>
    <w:p w:rsidR="00687978" w:rsidRPr="00687978" w:rsidRDefault="00687978" w:rsidP="00687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7978">
        <w:rPr>
          <w:rFonts w:ascii="Times New Roman" w:hAnsi="Times New Roman" w:cs="Times New Roman"/>
          <w:sz w:val="28"/>
          <w:szCs w:val="28"/>
        </w:rPr>
        <w:t>Раздел 2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87978" w:rsidRPr="0068797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досуговая услуга на базе клубных формирований (творческих коллективов, </w:t>
      </w:r>
      <w:r w:rsidR="00687978" w:rsidRPr="00687978">
        <w:rPr>
          <w:rFonts w:ascii="Times New Roman" w:hAnsi="Times New Roman" w:cs="Times New Roman"/>
          <w:spacing w:val="-3"/>
          <w:sz w:val="28"/>
          <w:szCs w:val="28"/>
        </w:rPr>
        <w:t xml:space="preserve">студий, кружков, </w:t>
      </w:r>
      <w:r w:rsidR="00687978" w:rsidRPr="00687978">
        <w:rPr>
          <w:rFonts w:ascii="Times New Roman" w:hAnsi="Times New Roman" w:cs="Times New Roman"/>
          <w:sz w:val="28"/>
          <w:szCs w:val="28"/>
        </w:rPr>
        <w:t>секций, любительских объединений, клубов по интересам)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2.1. Потребители бесплатных услуг: физические лица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2.2. Потребители частично оплачиваемых услуг: физические лица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муниципальной услуги</w:t>
      </w:r>
    </w:p>
    <w:p w:rsidR="00687978" w:rsidRPr="00687978" w:rsidRDefault="00977DC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3.1. Плановый объем муниципальной услуги (в натуральных показателях)</w:t>
      </w:r>
    </w:p>
    <w:p w:rsidR="00687978" w:rsidRPr="00687978" w:rsidRDefault="0068797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144"/>
        <w:gridCol w:w="1417"/>
        <w:gridCol w:w="1843"/>
        <w:gridCol w:w="1701"/>
        <w:gridCol w:w="1509"/>
        <w:gridCol w:w="1605"/>
        <w:gridCol w:w="1605"/>
        <w:gridCol w:w="2794"/>
      </w:tblGrid>
      <w:tr w:rsidR="00687978" w:rsidRPr="00687978" w:rsidTr="00437F4D">
        <w:trPr>
          <w:cantSplit/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 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объема муниципальной услуги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687978" w:rsidRPr="00687978" w:rsidTr="00437F4D">
        <w:trPr>
          <w:cantSplit/>
          <w:trHeight w:val="72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год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78" w:rsidRPr="00687978" w:rsidTr="00437F4D">
        <w:trPr>
          <w:cantSplit/>
          <w:trHeight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978" w:rsidRPr="00687978" w:rsidTr="00437F4D">
        <w:trPr>
          <w:cantSplit/>
          <w:trHeight w:val="2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Досуговая услуга на базе клубных формирований (творческих коллективов, </w:t>
            </w:r>
            <w:r w:rsidRPr="0068797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студий, кружков,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секций, любительских объединений, клубов по интересам)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Единиц клубных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978" w:rsidRPr="002E373E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о ситуации в курируемой сфере», Приказ Управления культуры </w:t>
            </w:r>
          </w:p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№ 02/04/136 от 23.12.2011</w:t>
            </w:r>
          </w:p>
        </w:tc>
      </w:tr>
    </w:tbl>
    <w:p w:rsidR="00687978" w:rsidRPr="00687978" w:rsidRDefault="0068797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73E" w:rsidRPr="00687978" w:rsidRDefault="00037610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85pt;margin-top:22.4pt;width:744.4pt;height:3.55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" stroked="f">
            <v:fill opacity="0"/>
            <v:textbox inset="0,0,0,0">
              <w:txbxContent>
                <w:p w:rsidR="00687978" w:rsidRPr="003A5A69" w:rsidRDefault="00687978" w:rsidP="00687978">
                  <w:r w:rsidRPr="003A5A69"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77DC8">
        <w:rPr>
          <w:rFonts w:ascii="Times New Roman" w:hAnsi="Times New Roman" w:cs="Times New Roman"/>
          <w:sz w:val="28"/>
          <w:szCs w:val="28"/>
        </w:rPr>
        <w:t>2.</w:t>
      </w:r>
      <w:r w:rsidR="00687978" w:rsidRPr="00687978">
        <w:rPr>
          <w:rFonts w:ascii="Times New Roman" w:hAnsi="Times New Roman" w:cs="Times New Roman"/>
          <w:sz w:val="28"/>
          <w:szCs w:val="28"/>
        </w:rPr>
        <w:t>3.2. Показатели качества муниципальной услуг</w:t>
      </w:r>
      <w:r w:rsidR="002B22E5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50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144"/>
        <w:gridCol w:w="1417"/>
        <w:gridCol w:w="2126"/>
        <w:gridCol w:w="1701"/>
        <w:gridCol w:w="1560"/>
        <w:gridCol w:w="1559"/>
        <w:gridCol w:w="1701"/>
        <w:gridCol w:w="2270"/>
      </w:tblGrid>
      <w:tr w:rsidR="00687978" w:rsidRPr="00687978" w:rsidTr="00437F4D">
        <w:trPr>
          <w:cantSplit/>
          <w:trHeight w:val="29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 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687978" w:rsidRPr="00687978" w:rsidTr="00437F4D">
        <w:trPr>
          <w:cantSplit/>
          <w:trHeight w:val="72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7978" w:rsidRPr="00687978" w:rsidRDefault="00687978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78" w:rsidRPr="00687978" w:rsidTr="00437F4D">
        <w:trPr>
          <w:cantSplit/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7978" w:rsidRPr="00687978" w:rsidTr="00437F4D">
        <w:trPr>
          <w:cantSplit/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68797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Доля коллективов, имеющих звание 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, образцовый к общему числу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r w:rsidRPr="006879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r w:rsidRPr="006879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х100,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- доля коллективов, имеющих звание народный, образцовый к общему числу коллективов;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- число коллективов, имеющих звание 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, образцовый;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общее число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687978"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2E373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о ситуации в курируемой сфере», Приказ Управления культуры </w:t>
            </w:r>
          </w:p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№ 02/04/136 от 23.12.2011</w:t>
            </w:r>
          </w:p>
        </w:tc>
      </w:tr>
      <w:tr w:rsidR="00687978" w:rsidRPr="00687978" w:rsidTr="00437F4D">
        <w:trPr>
          <w:cantSplit/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Число лауреатов </w:t>
            </w:r>
            <w:proofErr w:type="spell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</w:p>
          <w:p w:rsid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  <w:proofErr w:type="gramEnd"/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кого) конкурса (фестиваля)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       у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Х =  ─  ∙ 100%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87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у – кол-во победителей в текущем году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– кол-во участников клубных формирований самодеятельного народного творчества на декабрь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86459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978"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86459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978"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8" w:rsidRPr="00687978" w:rsidRDefault="00687978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78" w:rsidRPr="00687978" w:rsidRDefault="0086459E" w:rsidP="00437F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978" w:rsidRPr="006879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78" w:rsidRPr="00687978" w:rsidRDefault="00687978" w:rsidP="00437F4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«Информация о ситуации в курируемой сфере», Приказ Управления культуры </w:t>
            </w:r>
          </w:p>
          <w:p w:rsidR="00687978" w:rsidRPr="00687978" w:rsidRDefault="00687978" w:rsidP="00437F4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978">
              <w:rPr>
                <w:rFonts w:ascii="Times New Roman" w:hAnsi="Times New Roman" w:cs="Times New Roman"/>
                <w:sz w:val="28"/>
                <w:szCs w:val="28"/>
              </w:rPr>
              <w:t>№ 02/04/136 от 23.12.2011</w:t>
            </w:r>
          </w:p>
        </w:tc>
      </w:tr>
    </w:tbl>
    <w:p w:rsidR="00687978" w:rsidRPr="00687978" w:rsidRDefault="00687978" w:rsidP="006879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A3E">
        <w:rPr>
          <w:rFonts w:ascii="Times New Roman" w:hAnsi="Times New Roman" w:cs="Times New Roman"/>
          <w:sz w:val="28"/>
          <w:szCs w:val="28"/>
        </w:rPr>
        <w:t>.4. Порядок оказания муниципальной услуги</w:t>
      </w: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A3E">
        <w:rPr>
          <w:rFonts w:ascii="Times New Roman" w:hAnsi="Times New Roman" w:cs="Times New Roman"/>
          <w:sz w:val="28"/>
          <w:szCs w:val="28"/>
        </w:rPr>
        <w:t>.4.1.  Нормативные   правовые   акты,  регулирующие  порядок 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Рыбинск  от 19.07.2012 №  2817 «Об утверждении стандартов качества муниципальных услуг в отрасли культура»</w:t>
      </w:r>
    </w:p>
    <w:p w:rsidR="00977DC8" w:rsidRDefault="00977DC8" w:rsidP="00977DC8">
      <w:pPr>
        <w:autoSpaceDE w:val="0"/>
        <w:autoSpaceDN w:val="0"/>
        <w:adjustRightInd w:val="0"/>
        <w:ind w:right="-5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0172">
        <w:rPr>
          <w:rFonts w:ascii="Times New Roman" w:hAnsi="Times New Roman" w:cs="Times New Roman"/>
          <w:sz w:val="28"/>
          <w:szCs w:val="28"/>
        </w:rPr>
        <w:t>.4.2.  Порядок информирования потенциальных потребителей муниципальной услуги  (способ  информирования,  состав  размещаемой  информации,  частота обновления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017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об Организации осуществляется непосредственно Организацией. Информация об Организации размещается на официальном сайте городского округа город Рыбинск в сети Интернет. Организация обязана довести до сведения потребителя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потребителя. В общедоступной зоне в Организации и на сайте Организации (при его наличии) должна быть размещена следующая информация: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- сведения о графике работы Организации;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пользования организацией, права и обязанности потребителя, в том числе основания отказа в оказании Услуги; 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утвержденный перечень услуг с указанием условий предоставления, наличия льгот; 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- информация о номерах телефонов Организации;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контактная информация о руководстве Организации с указанием фамилии, имени, отчества, должности, номера телефона, времени и месте приема потребителя; 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информация о местонахождении текста Стандарта, которому должны соответствовать Услуги, оказываемые Организацией; </w:t>
      </w:r>
    </w:p>
    <w:p w:rsidR="00977DC8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 xml:space="preserve">- информация о способах доведения потребителем своих отзывов, замечаний и предложений о работе Организации; </w:t>
      </w:r>
    </w:p>
    <w:p w:rsidR="00977DC8" w:rsidRPr="00FB0172" w:rsidRDefault="00977DC8" w:rsidP="00977DC8">
      <w:pPr>
        <w:autoSpaceDE w:val="0"/>
        <w:autoSpaceDN w:val="0"/>
        <w:adjustRightInd w:val="0"/>
        <w:ind w:right="-501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- порядок рассмотрения жалоб на качество оказываемой Услуги.</w:t>
      </w:r>
    </w:p>
    <w:p w:rsidR="00977DC8" w:rsidRPr="00FB0172" w:rsidRDefault="00977DC8" w:rsidP="00977DC8">
      <w:pPr>
        <w:autoSpaceDE w:val="0"/>
        <w:autoSpaceDN w:val="0"/>
        <w:adjustRightInd w:val="0"/>
        <w:ind w:right="-50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172">
        <w:rPr>
          <w:rFonts w:ascii="Times New Roman" w:hAnsi="Times New Roman" w:cs="Times New Roman"/>
          <w:sz w:val="28"/>
          <w:szCs w:val="28"/>
        </w:rPr>
        <w:t>Информация о деятельности Организации, о порядке и правилах оказания Услуги должна обновляться (актуализироваться) по мере необходимости, но не реже чем раз в год.</w:t>
      </w:r>
    </w:p>
    <w:p w:rsidR="00977DC8" w:rsidRPr="00086A3E" w:rsidRDefault="00977DC8" w:rsidP="00977DC8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086A3E">
        <w:rPr>
          <w:rFonts w:ascii="Times New Roman" w:hAnsi="Times New Roman" w:cs="Times New Roman"/>
          <w:sz w:val="28"/>
          <w:szCs w:val="28"/>
        </w:rPr>
        <w:t>.5. Предельные цены (тарифы) на оплату муниципальной услуги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если  законодательством  Российской  Федерации предусмотрено их оказание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платной основе, либо порядок их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A3E">
        <w:rPr>
          <w:rFonts w:ascii="Times New Roman" w:hAnsi="Times New Roman" w:cs="Times New Roman"/>
          <w:sz w:val="28"/>
          <w:szCs w:val="28"/>
        </w:rPr>
        <w:t>(заполняется в случае оказания услуг на платной основе,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 xml:space="preserve"> нормативные акты, которыми предусмотрено оказание услуг на платной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 xml:space="preserve">  орган, устанавливающий цены (тарифы), значения предельных цен (тарифов))</w:t>
      </w:r>
    </w:p>
    <w:p w:rsidR="00977DC8" w:rsidRDefault="00977DC8" w:rsidP="00977DC8">
      <w:pPr>
        <w:autoSpaceDE w:val="0"/>
        <w:autoSpaceDN w:val="0"/>
        <w:adjustRightInd w:val="0"/>
        <w:spacing w:after="0" w:line="240" w:lineRule="auto"/>
        <w:ind w:right="-50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A3E">
        <w:rPr>
          <w:rFonts w:ascii="Times New Roman" w:hAnsi="Times New Roman" w:cs="Times New Roman"/>
          <w:sz w:val="28"/>
          <w:szCs w:val="28"/>
        </w:rPr>
        <w:t>.6. Основания  для  досрочного  прекращения  исполнения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A3E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86A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2.12.Раздела 2 Порядка  формирования, финансового обеспечения, мониторинга и контроля выполнения муниципального задания, утвержденного Постановлением Администрации городского округа г. Рыбинск от 08.04.2014 N 971 «О порядке формирования, финансового обеспечения, мониторинга и контроля выполнения муниципального задания»</w:t>
      </w:r>
    </w:p>
    <w:p w:rsidR="00977DC8" w:rsidRPr="00086A3E" w:rsidRDefault="00977DC8" w:rsidP="00977DC8">
      <w:pPr>
        <w:pStyle w:val="ConsPlusNonformat"/>
        <w:ind w:right="-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086A3E">
        <w:rPr>
          <w:rFonts w:ascii="Times New Roman" w:hAnsi="Times New Roman" w:cs="Times New Roman"/>
          <w:sz w:val="28"/>
          <w:szCs w:val="28"/>
        </w:rPr>
        <w:t xml:space="preserve">.7. Порядок </w:t>
      </w:r>
      <w:proofErr w:type="gramStart"/>
      <w:r w:rsidRPr="00086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6A3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977DC8" w:rsidRDefault="00977DC8" w:rsidP="00977DC8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977DC8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</w:t>
            </w:r>
            <w:r w:rsidRPr="00086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промежуточная 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кварталом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43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муниципального задания</w:t>
            </w:r>
          </w:p>
          <w:p w:rsidR="00977DC8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</w:tbl>
    <w:p w:rsidR="00977DC8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086A3E">
        <w:rPr>
          <w:rFonts w:ascii="Times New Roman" w:hAnsi="Times New Roman" w:cs="Times New Roman"/>
          <w:sz w:val="28"/>
          <w:szCs w:val="28"/>
        </w:rPr>
        <w:t>.8. Требования к отчетности об исполнении муниципального задания</w:t>
      </w: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A3E">
        <w:rPr>
          <w:rFonts w:ascii="Times New Roman" w:hAnsi="Times New Roman" w:cs="Times New Roman"/>
          <w:sz w:val="28"/>
          <w:szCs w:val="28"/>
        </w:rPr>
        <w:t>.8.1. Сроки представления отчетов об исполнении муниципального задания</w:t>
      </w:r>
    </w:p>
    <w:p w:rsidR="00977DC8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Отчеты о выполнении муниципального задания предоставляются учреждением </w:t>
      </w: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до 5 февраля года, следующего за отчетным годом.</w:t>
      </w: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A3E">
        <w:rPr>
          <w:rFonts w:ascii="Times New Roman" w:hAnsi="Times New Roman" w:cs="Times New Roman"/>
          <w:sz w:val="28"/>
          <w:szCs w:val="28"/>
        </w:rPr>
        <w:t>.8.2. Форма отчета об исполнении муниципального задания</w:t>
      </w:r>
    </w:p>
    <w:p w:rsidR="00977DC8" w:rsidRDefault="00977DC8" w:rsidP="00977DC8">
      <w:pPr>
        <w:pStyle w:val="ConsPlusNormal"/>
        <w:jc w:val="both"/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1701"/>
        <w:gridCol w:w="2551"/>
        <w:gridCol w:w="2464"/>
        <w:gridCol w:w="2465"/>
        <w:gridCol w:w="3180"/>
      </w:tblGrid>
      <w:tr w:rsidR="00977DC8" w:rsidRPr="00086A3E" w:rsidTr="00437F4D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от запланированных значений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C8" w:rsidRPr="00086A3E" w:rsidTr="00437F4D">
        <w:trPr>
          <w:tblCellSpacing w:w="5" w:type="nil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977DC8" w:rsidRPr="00086A3E" w:rsidTr="00437F4D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086A3E" w:rsidRDefault="00977DC8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DC8" w:rsidRPr="00086A3E" w:rsidRDefault="00977DC8" w:rsidP="00977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DC8" w:rsidRPr="00086A3E" w:rsidRDefault="00977DC8" w:rsidP="00977D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086A3E">
        <w:rPr>
          <w:rFonts w:ascii="Times New Roman" w:hAnsi="Times New Roman" w:cs="Times New Roman"/>
          <w:sz w:val="28"/>
          <w:szCs w:val="28"/>
        </w:rPr>
        <w:t>.9. Результаты контроля исполнения муниципального задания</w:t>
      </w:r>
    </w:p>
    <w:p w:rsidR="00977DC8" w:rsidRDefault="00977DC8" w:rsidP="00977DC8">
      <w:pPr>
        <w:pStyle w:val="ConsPlusNonformat"/>
      </w:pPr>
      <w:r>
        <w:t>___________________________________________________________________________</w:t>
      </w:r>
    </w:p>
    <w:p w:rsidR="009F3B72" w:rsidRDefault="009F3B72" w:rsidP="009F3B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A91" w:rsidRDefault="00692A91" w:rsidP="0069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2A91" w:rsidRDefault="00692A91" w:rsidP="0069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A3E" w:rsidRPr="00692A91" w:rsidRDefault="00086A3E" w:rsidP="0069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lastRenderedPageBreak/>
        <w:t>2. МУНИЦИПАЛЬНОЕ ЗАДАНИЕ</w:t>
      </w:r>
    </w:p>
    <w:p w:rsidR="00086A3E" w:rsidRPr="00692A91" w:rsidRDefault="00086A3E" w:rsidP="0069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>НА ВЫПОЛНЕНИЕ МУНИЦИПАЛЬНЫХ РАБОТ</w:t>
      </w:r>
    </w:p>
    <w:p w:rsidR="00086A3E" w:rsidRPr="00692A91" w:rsidRDefault="00086A3E" w:rsidP="00692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06F3" w:rsidRDefault="00086A3E" w:rsidP="00EC0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>Раздел 1</w:t>
      </w:r>
    </w:p>
    <w:p w:rsidR="00EC06F3" w:rsidRPr="00EC06F3" w:rsidRDefault="00086A3E" w:rsidP="00EC0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>1.1. Наименование муниципальной работы</w:t>
      </w:r>
      <w:r w:rsidR="00EC06F3">
        <w:rPr>
          <w:rFonts w:ascii="Times New Roman" w:hAnsi="Times New Roman" w:cs="Times New Roman"/>
          <w:sz w:val="28"/>
          <w:szCs w:val="28"/>
        </w:rPr>
        <w:t xml:space="preserve"> -</w:t>
      </w:r>
      <w:r w:rsidR="00692A91">
        <w:rPr>
          <w:rFonts w:ascii="Times New Roman" w:hAnsi="Times New Roman" w:cs="Times New Roman"/>
          <w:sz w:val="28"/>
          <w:szCs w:val="28"/>
        </w:rPr>
        <w:t xml:space="preserve"> </w:t>
      </w:r>
      <w:r w:rsidR="00EC06F3" w:rsidRPr="00EC06F3">
        <w:rPr>
          <w:rFonts w:ascii="Times New Roman" w:hAnsi="Times New Roman" w:cs="Times New Roman"/>
          <w:sz w:val="28"/>
          <w:szCs w:val="28"/>
        </w:rPr>
        <w:t xml:space="preserve">создание спектаклей, концертов, концертных программ, кинопрограмм и иных зрелищных программ </w:t>
      </w:r>
    </w:p>
    <w:p w:rsidR="00086A3E" w:rsidRPr="00692A91" w:rsidRDefault="00086A3E" w:rsidP="00692A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06F3" w:rsidRPr="00692A91" w:rsidRDefault="00EC06F3" w:rsidP="00EC0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>1.2. Характеристика работ</w:t>
      </w:r>
    </w:p>
    <w:p w:rsidR="00EC06F3" w:rsidRPr="00692A91" w:rsidRDefault="00EC06F3" w:rsidP="00EC06F3">
      <w:pPr>
        <w:pStyle w:val="ConsPlusNormal"/>
        <w:jc w:val="both"/>
        <w:rPr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693"/>
        <w:gridCol w:w="2694"/>
        <w:gridCol w:w="2693"/>
        <w:gridCol w:w="2835"/>
      </w:tblGrid>
      <w:tr w:rsidR="00EC06F3" w:rsidTr="00437F4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</w:tc>
      </w:tr>
      <w:tr w:rsidR="00EC06F3" w:rsidTr="00437F4D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EC06F3" w:rsidTr="00437F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692A91" w:rsidRDefault="00EC06F3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6F3" w:rsidTr="00437F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EC06F3" w:rsidRDefault="00EC06F3" w:rsidP="00437F4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F3">
              <w:rPr>
                <w:rFonts w:ascii="Times New Roman" w:hAnsi="Times New Roman" w:cs="Times New Roman"/>
                <w:sz w:val="28"/>
                <w:szCs w:val="28"/>
              </w:rPr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555C40" w:rsidRDefault="008940F8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7F4705" w:rsidRDefault="008940F8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7F4705" w:rsidRDefault="008940F8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3" w:rsidRPr="007F4705" w:rsidRDefault="008940F8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</w:tbl>
    <w:p w:rsidR="00692A91" w:rsidRDefault="00692A91" w:rsidP="00086A3E">
      <w:pPr>
        <w:pStyle w:val="ConsPlusNonformat"/>
        <w:rPr>
          <w:rFonts w:ascii="Arial" w:hAnsi="Arial" w:cs="Arial"/>
        </w:rPr>
      </w:pPr>
    </w:p>
    <w:p w:rsidR="00692A91" w:rsidRDefault="00692A91" w:rsidP="00086A3E">
      <w:pPr>
        <w:pStyle w:val="ConsPlusNonformat"/>
        <w:rPr>
          <w:rFonts w:ascii="Arial" w:hAnsi="Arial" w:cs="Arial"/>
        </w:rPr>
      </w:pPr>
    </w:p>
    <w:p w:rsidR="00692A91" w:rsidRDefault="00086A3E" w:rsidP="006C21F4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>1.3.  Основания  для  досрочного  прекращения исполнения муниципального</w:t>
      </w:r>
      <w:r w:rsidR="00692A91">
        <w:rPr>
          <w:rFonts w:ascii="Times New Roman" w:hAnsi="Times New Roman" w:cs="Times New Roman"/>
          <w:sz w:val="28"/>
          <w:szCs w:val="28"/>
        </w:rPr>
        <w:t xml:space="preserve"> </w:t>
      </w:r>
      <w:r w:rsidRPr="00692A91">
        <w:rPr>
          <w:rFonts w:ascii="Times New Roman" w:hAnsi="Times New Roman" w:cs="Times New Roman"/>
          <w:sz w:val="28"/>
          <w:szCs w:val="28"/>
        </w:rPr>
        <w:t>задания</w:t>
      </w:r>
      <w:r w:rsidR="00692A91">
        <w:rPr>
          <w:rFonts w:ascii="Times New Roman" w:hAnsi="Times New Roman" w:cs="Times New Roman"/>
          <w:sz w:val="28"/>
          <w:szCs w:val="28"/>
        </w:rPr>
        <w:t xml:space="preserve">: </w:t>
      </w:r>
      <w:r w:rsidR="00692A91" w:rsidRPr="00086A3E">
        <w:rPr>
          <w:rFonts w:ascii="Times New Roman" w:hAnsi="Times New Roman" w:cs="Times New Roman"/>
          <w:sz w:val="28"/>
          <w:szCs w:val="28"/>
        </w:rPr>
        <w:t>пункт</w:t>
      </w:r>
      <w:r w:rsidR="00692A91">
        <w:rPr>
          <w:rFonts w:ascii="Times New Roman" w:hAnsi="Times New Roman" w:cs="Times New Roman"/>
          <w:sz w:val="28"/>
          <w:szCs w:val="28"/>
        </w:rPr>
        <w:t xml:space="preserve"> 2.12.Раздела 2 Порядка  формирования, финансового обеспечения, мониторинга и контроля выполнения муниципального задания, утвержденного Постановлением Администрации городского округа г. Рыбинск от 08.04.2014 N 971 «О порядке формирования, финансового обеспечения, мониторинга и контроля выполнения муниципального задания»</w:t>
      </w:r>
    </w:p>
    <w:p w:rsidR="00692A91" w:rsidRDefault="00692A91" w:rsidP="006C21F4">
      <w:pPr>
        <w:pStyle w:val="ConsPlusNonformat"/>
        <w:ind w:right="-501"/>
        <w:rPr>
          <w:rFonts w:ascii="Times New Roman" w:hAnsi="Times New Roman" w:cs="Times New Roman"/>
          <w:sz w:val="28"/>
          <w:szCs w:val="28"/>
        </w:rPr>
      </w:pPr>
    </w:p>
    <w:p w:rsidR="00692A91" w:rsidRPr="00086A3E" w:rsidRDefault="00086A3E" w:rsidP="00692A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2A91">
        <w:rPr>
          <w:rFonts w:ascii="Times New Roman" w:hAnsi="Times New Roman" w:cs="Times New Roman"/>
          <w:sz w:val="28"/>
          <w:szCs w:val="28"/>
        </w:rPr>
        <w:t xml:space="preserve">1.4. </w:t>
      </w:r>
      <w:r w:rsidR="00692A91" w:rsidRPr="00086A3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692A91" w:rsidRPr="00086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2A91" w:rsidRPr="00086A3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692A91" w:rsidRPr="00086A3E" w:rsidTr="009B114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692A91" w:rsidRPr="00086A3E" w:rsidTr="009B114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промежуточная 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кварталом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692A91" w:rsidRPr="00086A3E" w:rsidTr="009B114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Рыбинск</w:t>
            </w:r>
          </w:p>
        </w:tc>
      </w:tr>
      <w:tr w:rsidR="00692A91" w:rsidRPr="00086A3E" w:rsidTr="009B114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Default="00692A91" w:rsidP="009B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выполнения муниципального задания</w:t>
            </w:r>
          </w:p>
          <w:p w:rsidR="00692A91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1" w:rsidRPr="00086A3E" w:rsidRDefault="00692A91" w:rsidP="009B11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</w:tbl>
    <w:p w:rsidR="00086A3E" w:rsidRDefault="00086A3E" w:rsidP="00692A91">
      <w:pPr>
        <w:pStyle w:val="ConsPlusNonformat"/>
      </w:pPr>
    </w:p>
    <w:p w:rsidR="00086A3E" w:rsidRPr="00BE2F17" w:rsidRDefault="00086A3E" w:rsidP="007B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F17">
        <w:rPr>
          <w:rFonts w:ascii="Times New Roman" w:hAnsi="Times New Roman" w:cs="Times New Roman"/>
          <w:sz w:val="28"/>
          <w:szCs w:val="28"/>
        </w:rPr>
        <w:t>1.5. Требования к отчетности об исполнении муниципального задания</w:t>
      </w:r>
    </w:p>
    <w:p w:rsidR="00086A3E" w:rsidRPr="00BE2F17" w:rsidRDefault="00086A3E" w:rsidP="007B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F17">
        <w:rPr>
          <w:rFonts w:ascii="Times New Roman" w:hAnsi="Times New Roman" w:cs="Times New Roman"/>
          <w:sz w:val="28"/>
          <w:szCs w:val="28"/>
        </w:rPr>
        <w:t>1.5.1. Форма отчета об исполнении муниципального задания</w:t>
      </w:r>
    </w:p>
    <w:p w:rsidR="00086A3E" w:rsidRPr="00BE2F17" w:rsidRDefault="00086A3E" w:rsidP="0008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086A3E" w:rsidRPr="00BE2F17" w:rsidTr="00BE2F1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086A3E" w:rsidRPr="00BE2F17" w:rsidTr="00BE2F17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3E" w:rsidRPr="00BE2F17" w:rsidRDefault="0008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9" w:rsidRDefault="007B7259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A3E" w:rsidRPr="00BE2F17" w:rsidRDefault="00086A3E" w:rsidP="00086A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2F17">
        <w:rPr>
          <w:rFonts w:ascii="Times New Roman" w:hAnsi="Times New Roman" w:cs="Times New Roman"/>
          <w:sz w:val="28"/>
          <w:szCs w:val="28"/>
        </w:rPr>
        <w:t>1.5.2. Сроки представления отчетов об исполнении муниципального задания</w:t>
      </w:r>
    </w:p>
    <w:p w:rsidR="00EE7EA5" w:rsidRDefault="00EE7EA5" w:rsidP="00EE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муниципального задания предоставляются учреждением </w:t>
      </w:r>
    </w:p>
    <w:p w:rsidR="00EE7EA5" w:rsidRDefault="00EE7EA5" w:rsidP="00EE7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до 5 февраля года, следующего за отчетным годом.</w:t>
      </w:r>
    </w:p>
    <w:p w:rsidR="006F5EC1" w:rsidRDefault="006F5EC1" w:rsidP="006F5E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5EC1" w:rsidRPr="006F5EC1" w:rsidRDefault="006F5EC1" w:rsidP="006F5E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5EC1">
        <w:rPr>
          <w:rFonts w:ascii="Times New Roman" w:hAnsi="Times New Roman" w:cs="Times New Roman"/>
          <w:sz w:val="28"/>
          <w:szCs w:val="28"/>
        </w:rPr>
        <w:t>Раздел 2</w:t>
      </w:r>
    </w:p>
    <w:p w:rsidR="006F5EC1" w:rsidRPr="006F5EC1" w:rsidRDefault="006F5EC1" w:rsidP="006F5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5EC1">
        <w:rPr>
          <w:rFonts w:ascii="Times New Roman" w:hAnsi="Times New Roman" w:cs="Times New Roman"/>
          <w:sz w:val="28"/>
          <w:szCs w:val="28"/>
        </w:rPr>
        <w:t>1. Наименование муниципальной работы - создание и осуществление культурно-просветительских программ</w:t>
      </w:r>
    </w:p>
    <w:p w:rsidR="006F5EC1" w:rsidRPr="006F5EC1" w:rsidRDefault="006F5EC1" w:rsidP="006F5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5E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C1">
        <w:rPr>
          <w:rFonts w:ascii="Times New Roman" w:hAnsi="Times New Roman" w:cs="Times New Roman"/>
          <w:sz w:val="28"/>
          <w:szCs w:val="28"/>
        </w:rPr>
        <w:t>Характеристика работ</w:t>
      </w:r>
    </w:p>
    <w:p w:rsidR="006F5EC1" w:rsidRPr="006F5EC1" w:rsidRDefault="006F5EC1" w:rsidP="006F5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Ind w:w="-5" w:type="dxa"/>
        <w:tblLayout w:type="fixed"/>
        <w:tblLook w:val="0000"/>
      </w:tblPr>
      <w:tblGrid>
        <w:gridCol w:w="7910"/>
        <w:gridCol w:w="1701"/>
        <w:gridCol w:w="1842"/>
        <w:gridCol w:w="1985"/>
        <w:gridCol w:w="1583"/>
      </w:tblGrid>
      <w:tr w:rsidR="006F5EC1" w:rsidRPr="006F5EC1" w:rsidTr="00437F4D"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7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tabs>
                <w:tab w:val="left" w:pos="1488"/>
                <w:tab w:val="left" w:pos="196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</w:tc>
      </w:tr>
      <w:tr w:rsidR="006F5EC1" w:rsidRPr="006F5EC1" w:rsidTr="00437F4D">
        <w:trPr>
          <w:trHeight w:val="930"/>
        </w:trPr>
        <w:tc>
          <w:tcPr>
            <w:tcW w:w="7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rmal"/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6F5EC1" w:rsidRPr="006F5EC1" w:rsidTr="00437F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EC1" w:rsidRPr="006F5EC1" w:rsidRDefault="006F5EC1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EC1" w:rsidRPr="006F5EC1" w:rsidTr="00437F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EC1" w:rsidRPr="006F5EC1" w:rsidRDefault="006F5EC1" w:rsidP="00437F4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C1">
              <w:rPr>
                <w:rFonts w:ascii="Times New Roman" w:hAnsi="Times New Roman" w:cs="Times New Roman"/>
                <w:sz w:val="28"/>
                <w:szCs w:val="28"/>
              </w:rPr>
              <w:t>Создание и осуществление культурно-просветительских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4D2DEC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4D2DEC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EC1" w:rsidRPr="006F5EC1" w:rsidRDefault="004D2DEC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EC1" w:rsidRPr="006F5EC1" w:rsidRDefault="004D2DEC" w:rsidP="00437F4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F5EC1" w:rsidRPr="006F5EC1" w:rsidRDefault="006F5EC1" w:rsidP="006F5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EC1" w:rsidRDefault="006F5EC1" w:rsidP="006F5EC1">
      <w:pPr>
        <w:pStyle w:val="ConsPlusNonformat"/>
        <w:ind w:right="-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92A91">
        <w:rPr>
          <w:rFonts w:ascii="Times New Roman" w:hAnsi="Times New Roman" w:cs="Times New Roman"/>
          <w:sz w:val="28"/>
          <w:szCs w:val="28"/>
        </w:rPr>
        <w:t>.3.  Основания  для  досрочного  прекращения исполнения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9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6A3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2.12.Раздела 2 Порядка  формирования, финансового обеспечения, мониторинга и контроля выполнения муниципального задания, утвержденного Постановлением Администрации городского округа г. Рыбинск от 08.04.2014 N 971 «О порядке формирования, финансового обеспечения, мониторинга и контроля выполнения муниципального задания»</w:t>
      </w:r>
    </w:p>
    <w:p w:rsidR="006F5EC1" w:rsidRDefault="006F5EC1" w:rsidP="006F5EC1">
      <w:pPr>
        <w:pStyle w:val="ConsPlusNonformat"/>
        <w:ind w:right="-501"/>
        <w:rPr>
          <w:rFonts w:ascii="Times New Roman" w:hAnsi="Times New Roman" w:cs="Times New Roman"/>
          <w:sz w:val="28"/>
          <w:szCs w:val="28"/>
        </w:rPr>
      </w:pPr>
    </w:p>
    <w:p w:rsidR="006F5EC1" w:rsidRPr="00086A3E" w:rsidRDefault="006F5EC1" w:rsidP="006F5E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A91">
        <w:rPr>
          <w:rFonts w:ascii="Times New Roman" w:hAnsi="Times New Roman" w:cs="Times New Roman"/>
          <w:sz w:val="28"/>
          <w:szCs w:val="28"/>
        </w:rPr>
        <w:t xml:space="preserve">.4. </w:t>
      </w:r>
      <w:r w:rsidRPr="00086A3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086A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6A3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6F5EC1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86A3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6F5EC1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промежуточная 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кварталом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6F5EC1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контроль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  <w:tr w:rsidR="006F5EC1" w:rsidRPr="00086A3E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Default="006F5EC1" w:rsidP="0043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муниципального задания</w:t>
            </w:r>
          </w:p>
          <w:p w:rsidR="006F5EC1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086A3E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городского округа город Рыбинск</w:t>
            </w:r>
          </w:p>
        </w:tc>
      </w:tr>
    </w:tbl>
    <w:p w:rsidR="006F5EC1" w:rsidRDefault="006F5EC1" w:rsidP="006F5EC1">
      <w:pPr>
        <w:pStyle w:val="ConsPlusNonformat"/>
      </w:pPr>
    </w:p>
    <w:p w:rsidR="006F5EC1" w:rsidRPr="00BE2F17" w:rsidRDefault="006F5EC1" w:rsidP="006F5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F17">
        <w:rPr>
          <w:rFonts w:ascii="Times New Roman" w:hAnsi="Times New Roman" w:cs="Times New Roman"/>
          <w:sz w:val="28"/>
          <w:szCs w:val="28"/>
        </w:rPr>
        <w:t>.5. Требования к отчетности об исполнении муниципального задания</w:t>
      </w:r>
    </w:p>
    <w:p w:rsidR="006F5EC1" w:rsidRPr="00BE2F17" w:rsidRDefault="006F5EC1" w:rsidP="006F5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F17">
        <w:rPr>
          <w:rFonts w:ascii="Times New Roman" w:hAnsi="Times New Roman" w:cs="Times New Roman"/>
          <w:sz w:val="28"/>
          <w:szCs w:val="28"/>
        </w:rPr>
        <w:t>.5.1. Форма отчета об исполнении муниципального задания</w:t>
      </w:r>
    </w:p>
    <w:p w:rsidR="006F5EC1" w:rsidRPr="00BE2F17" w:rsidRDefault="006F5EC1" w:rsidP="006F5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4395"/>
        <w:gridCol w:w="6095"/>
      </w:tblGrid>
      <w:tr w:rsidR="006F5EC1" w:rsidRPr="00BE2F17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BE2F17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6F5EC1" w:rsidRPr="00BE2F17" w:rsidTr="00437F4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C1" w:rsidRPr="00BE2F17" w:rsidRDefault="006F5EC1" w:rsidP="00437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EC1" w:rsidRDefault="006F5EC1" w:rsidP="006F5E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EC1" w:rsidRPr="00BE2F17" w:rsidRDefault="006F5EC1" w:rsidP="006F5E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F17">
        <w:rPr>
          <w:rFonts w:ascii="Times New Roman" w:hAnsi="Times New Roman" w:cs="Times New Roman"/>
          <w:sz w:val="28"/>
          <w:szCs w:val="28"/>
        </w:rPr>
        <w:t>.5.2. Сроки представления отчетов об исполнении муниципального задания</w:t>
      </w:r>
    </w:p>
    <w:p w:rsidR="006F5EC1" w:rsidRDefault="006F5EC1" w:rsidP="006F5E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муниципального задания предоставляются учреждением </w:t>
      </w:r>
    </w:p>
    <w:p w:rsidR="006F5EC1" w:rsidRDefault="006F5EC1" w:rsidP="006F5E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до 5 февраля года, следующего за отчетным годом.</w:t>
      </w:r>
    </w:p>
    <w:p w:rsidR="00CE310B" w:rsidRPr="006F5EC1" w:rsidRDefault="00CE310B" w:rsidP="006F5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E310B" w:rsidRPr="006F5EC1" w:rsidSect="009B114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0CB"/>
    <w:multiLevelType w:val="hybridMultilevel"/>
    <w:tmpl w:val="E7C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A3E"/>
    <w:rsid w:val="00037610"/>
    <w:rsid w:val="00086A3E"/>
    <w:rsid w:val="000A6B9C"/>
    <w:rsid w:val="0014213A"/>
    <w:rsid w:val="001623C8"/>
    <w:rsid w:val="00220B57"/>
    <w:rsid w:val="002B22E5"/>
    <w:rsid w:val="002E373E"/>
    <w:rsid w:val="003515D9"/>
    <w:rsid w:val="00366D4C"/>
    <w:rsid w:val="00377F90"/>
    <w:rsid w:val="003C2E51"/>
    <w:rsid w:val="00436D78"/>
    <w:rsid w:val="004D2DEC"/>
    <w:rsid w:val="005C5278"/>
    <w:rsid w:val="006300C3"/>
    <w:rsid w:val="00635F3A"/>
    <w:rsid w:val="00687978"/>
    <w:rsid w:val="00692A91"/>
    <w:rsid w:val="006B5C0B"/>
    <w:rsid w:val="006C21F4"/>
    <w:rsid w:val="006D1881"/>
    <w:rsid w:val="006F5EC1"/>
    <w:rsid w:val="00744F9F"/>
    <w:rsid w:val="007B7259"/>
    <w:rsid w:val="0086459E"/>
    <w:rsid w:val="008940F8"/>
    <w:rsid w:val="00913496"/>
    <w:rsid w:val="00965629"/>
    <w:rsid w:val="00977DC8"/>
    <w:rsid w:val="009F0ABC"/>
    <w:rsid w:val="009F3B72"/>
    <w:rsid w:val="00A04E4D"/>
    <w:rsid w:val="00A06CBF"/>
    <w:rsid w:val="00A91325"/>
    <w:rsid w:val="00B41570"/>
    <w:rsid w:val="00BE2F17"/>
    <w:rsid w:val="00C00274"/>
    <w:rsid w:val="00C7474E"/>
    <w:rsid w:val="00CE310B"/>
    <w:rsid w:val="00CF568D"/>
    <w:rsid w:val="00D85AE0"/>
    <w:rsid w:val="00EC06F3"/>
    <w:rsid w:val="00EE7EA5"/>
    <w:rsid w:val="00F466D0"/>
    <w:rsid w:val="00F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86A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86A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2015-01-30T07:50:00Z</dcterms:created>
  <dcterms:modified xsi:type="dcterms:W3CDTF">2015-01-30T07:50:00Z</dcterms:modified>
</cp:coreProperties>
</file>